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7"/>
        <w:gridCol w:w="11"/>
        <w:gridCol w:w="1440"/>
        <w:gridCol w:w="11"/>
        <w:gridCol w:w="2339"/>
      </w:tblGrid>
      <w:tr w:rsidR="005879D7" w:rsidRPr="004B1710" w:rsidTr="00FA5969">
        <w:trPr>
          <w:cantSplit/>
          <w:trHeight w:val="479"/>
        </w:trPr>
        <w:tc>
          <w:tcPr>
            <w:tcW w:w="14508" w:type="dxa"/>
            <w:gridSpan w:val="5"/>
            <w:shd w:val="clear" w:color="auto" w:fill="D6E3BC"/>
          </w:tcPr>
          <w:p w:rsidR="005879D7" w:rsidRPr="004B1710" w:rsidRDefault="005879D7" w:rsidP="00FA5969">
            <w:pPr>
              <w:pStyle w:val="Heading1"/>
            </w:pPr>
          </w:p>
          <w:p w:rsidR="005879D7" w:rsidRPr="00544AB1" w:rsidRDefault="005879D7" w:rsidP="00FA5969">
            <w:pPr>
              <w:pStyle w:val="Heading1"/>
              <w:rPr>
                <w:b w:val="0"/>
                <w:bCs w:val="0"/>
                <w:i/>
                <w:color w:val="000000"/>
                <w:szCs w:val="22"/>
              </w:rPr>
            </w:pPr>
            <w:r w:rsidRPr="00544AB1">
              <w:rPr>
                <w:szCs w:val="22"/>
              </w:rPr>
              <w:t>1. LEADERSHIP - structures are in place and visible throughout the school</w:t>
            </w:r>
          </w:p>
        </w:tc>
      </w:tr>
      <w:tr w:rsidR="005879D7" w:rsidRPr="004B1710" w:rsidTr="00FA5969">
        <w:tc>
          <w:tcPr>
            <w:tcW w:w="10718" w:type="dxa"/>
            <w:gridSpan w:val="2"/>
            <w:vAlign w:val="bottom"/>
          </w:tcPr>
          <w:p w:rsidR="005879D7" w:rsidRPr="004B1710" w:rsidRDefault="005879D7" w:rsidP="00FA5969">
            <w:pPr>
              <w:pStyle w:val="Heading1"/>
            </w:pPr>
            <w:r w:rsidRPr="004B1710">
              <w:t>Evidence</w:t>
            </w:r>
          </w:p>
        </w:tc>
        <w:tc>
          <w:tcPr>
            <w:tcW w:w="1451" w:type="dxa"/>
            <w:gridSpan w:val="2"/>
            <w:vAlign w:val="bottom"/>
          </w:tcPr>
          <w:p w:rsidR="005879D7" w:rsidRPr="004B1710" w:rsidRDefault="005879D7" w:rsidP="00FA5969">
            <w:pPr>
              <w:pStyle w:val="Heading1"/>
            </w:pPr>
            <w:r w:rsidRPr="006008CC">
              <w:rPr>
                <w:color w:val="FF0000"/>
              </w:rPr>
              <w:t>Red/</w:t>
            </w:r>
            <w:r w:rsidRPr="006008CC">
              <w:rPr>
                <w:color w:val="FF6600"/>
              </w:rPr>
              <w:t>Amber/</w:t>
            </w:r>
            <w:r>
              <w:t xml:space="preserve"> </w:t>
            </w:r>
            <w:r w:rsidRPr="006008CC">
              <w:rPr>
                <w:color w:val="00FF00"/>
              </w:rPr>
              <w:t>Green</w:t>
            </w:r>
          </w:p>
        </w:tc>
        <w:tc>
          <w:tcPr>
            <w:tcW w:w="2339" w:type="dxa"/>
            <w:vAlign w:val="bottom"/>
          </w:tcPr>
          <w:p w:rsidR="005879D7" w:rsidRPr="004B1710" w:rsidRDefault="005879D7" w:rsidP="00FA5969">
            <w:pPr>
              <w:pStyle w:val="Heading1"/>
            </w:pPr>
            <w:proofErr w:type="spellStart"/>
            <w:r w:rsidRPr="004B1710">
              <w:t>Self Assessed</w:t>
            </w:r>
            <w:proofErr w:type="spellEnd"/>
            <w:r w:rsidRPr="004B1710">
              <w:t xml:space="preserve"> Rating</w:t>
            </w:r>
          </w:p>
        </w:tc>
      </w:tr>
      <w:tr w:rsidR="005879D7" w:rsidRPr="004B1710" w:rsidTr="00FA5969">
        <w:trPr>
          <w:cantSplit/>
          <w:trHeight w:val="252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The Senior Leadership Team and Governors are aware of the Prevent Strategy and its objectives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D62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 w:val="restart"/>
          </w:tcPr>
          <w:p w:rsidR="005879D7" w:rsidRPr="004B1710" w:rsidRDefault="005879D7" w:rsidP="00FA596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F0000"/>
                <w:sz w:val="20"/>
                <w:szCs w:val="20"/>
              </w:rPr>
              <w:t>Red (R): not able to evidence any</w:t>
            </w:r>
          </w:p>
          <w:p w:rsidR="005879D7" w:rsidRPr="004B1710" w:rsidRDefault="005879D7" w:rsidP="00FA5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79646"/>
                <w:sz w:val="20"/>
                <w:szCs w:val="20"/>
              </w:rPr>
              <w:t>Amber (A): evidence of some but not all</w:t>
            </w:r>
          </w:p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  <w:r w:rsidRPr="004B1710">
              <w:rPr>
                <w:rFonts w:ascii="Arial" w:hAnsi="Arial" w:cs="Arial"/>
                <w:b/>
                <w:color w:val="00B050"/>
                <w:sz w:val="20"/>
                <w:szCs w:val="20"/>
              </w:rPr>
              <w:t>Green (G): evidence of all and more</w:t>
            </w:r>
          </w:p>
        </w:tc>
      </w:tr>
      <w:tr w:rsidR="005879D7" w:rsidRPr="004B1710" w:rsidTr="00FA5969">
        <w:trPr>
          <w:cantSplit/>
          <w:trHeight w:val="252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There is an identified strategic Prevent lead within the school who understands the expectations and key priorities to deliver the Prevent Duty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 xml:space="preserve">Supporting young people vulnerable to radicalisation is embedded within Safeguarding Policies and </w:t>
            </w:r>
            <w:proofErr w:type="gramStart"/>
            <w:r w:rsidRPr="008D62C7">
              <w:rPr>
                <w:rFonts w:ascii="Arial" w:hAnsi="Arial" w:cs="Arial"/>
                <w:sz w:val="22"/>
                <w:szCs w:val="22"/>
              </w:rPr>
              <w:t xml:space="preserve">Procedures 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 xml:space="preserve">Prevent safeguarding responsibilities are explicit 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within the School’s Safeguarding Team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/Lead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take into account the policies and procedures of the Local Safeguarding Children Board (LSCB)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There is a clear awareness of roles and responsibilities throughout organisation regarding Prevent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FFC000"/>
                <w:sz w:val="22"/>
              </w:rPr>
            </w:pPr>
            <w:r>
              <w:rPr>
                <w:rFonts w:ascii="Arial" w:hAnsi="Arial" w:cs="Arial"/>
                <w:b/>
                <w:color w:val="FFC000"/>
                <w:sz w:val="22"/>
              </w:rPr>
              <w:t>A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The Senior Leadership Team drives the implementation of the Prevent Duty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425B81" w:rsidP="00FA5969">
            <w:pPr>
              <w:rPr>
                <w:rFonts w:ascii="Arial" w:hAnsi="Arial" w:cs="Arial"/>
                <w:b/>
                <w:color w:val="FFC00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</w:trPr>
        <w:tc>
          <w:tcPr>
            <w:tcW w:w="14508" w:type="dxa"/>
            <w:gridSpan w:val="5"/>
            <w:shd w:val="clear" w:color="auto" w:fill="D6E3BC"/>
          </w:tcPr>
          <w:p w:rsidR="005879D7" w:rsidRPr="004B1710" w:rsidRDefault="005879D7" w:rsidP="00FA5969">
            <w:pPr>
              <w:pStyle w:val="Heading1"/>
            </w:pPr>
          </w:p>
          <w:p w:rsidR="005879D7" w:rsidRPr="00FE7015" w:rsidRDefault="005879D7" w:rsidP="00FA5969">
            <w:pPr>
              <w:pStyle w:val="Heading1"/>
              <w:rPr>
                <w:rStyle w:val="Emphasis"/>
                <w:rFonts w:ascii="Arial" w:hAnsi="Arial" w:cs="Arial"/>
                <w:i w:val="0"/>
                <w:iCs w:val="0"/>
                <w:sz w:val="24"/>
              </w:rPr>
            </w:pPr>
            <w:r>
              <w:rPr>
                <w:sz w:val="24"/>
              </w:rPr>
              <w:t>2. CAPABILITIES –s</w:t>
            </w:r>
            <w:r w:rsidRPr="004B1710">
              <w:rPr>
                <w:sz w:val="24"/>
              </w:rPr>
              <w:t>taff and</w:t>
            </w:r>
            <w:r>
              <w:rPr>
                <w:sz w:val="24"/>
              </w:rPr>
              <w:t xml:space="preserve"> governors adequately </w:t>
            </w:r>
            <w:r w:rsidRPr="004B1710">
              <w:rPr>
                <w:sz w:val="24"/>
              </w:rPr>
              <w:t xml:space="preserve">trained </w:t>
            </w:r>
            <w:r>
              <w:rPr>
                <w:sz w:val="24"/>
              </w:rPr>
              <w:t xml:space="preserve">on Prevent Duty </w:t>
            </w:r>
          </w:p>
          <w:p w:rsidR="005879D7" w:rsidRPr="004B1710" w:rsidRDefault="005879D7" w:rsidP="00FA5969">
            <w:pPr>
              <w:rPr>
                <w:rFonts w:ascii="Arial" w:hAnsi="Arial" w:cs="Arial"/>
              </w:rPr>
            </w:pPr>
          </w:p>
        </w:tc>
      </w:tr>
      <w:tr w:rsidR="005879D7" w:rsidRPr="004B1710" w:rsidTr="00FA5969">
        <w:tc>
          <w:tcPr>
            <w:tcW w:w="10718" w:type="dxa"/>
            <w:gridSpan w:val="2"/>
            <w:vAlign w:val="bottom"/>
          </w:tcPr>
          <w:p w:rsidR="005879D7" w:rsidRPr="004B1710" w:rsidRDefault="005879D7" w:rsidP="00FA5969">
            <w:pPr>
              <w:pStyle w:val="Heading1"/>
            </w:pPr>
            <w:r w:rsidRPr="004B1710">
              <w:t>Evidence</w:t>
            </w:r>
          </w:p>
        </w:tc>
        <w:tc>
          <w:tcPr>
            <w:tcW w:w="1451" w:type="dxa"/>
            <w:gridSpan w:val="2"/>
          </w:tcPr>
          <w:p w:rsidR="005879D7" w:rsidRPr="004B1710" w:rsidRDefault="005879D7" w:rsidP="00FA5969">
            <w:pPr>
              <w:pStyle w:val="Heading1"/>
            </w:pPr>
            <w:r w:rsidRPr="006008CC">
              <w:rPr>
                <w:color w:val="FF0000"/>
              </w:rPr>
              <w:t>Red/</w:t>
            </w:r>
            <w:r w:rsidRPr="006008CC">
              <w:rPr>
                <w:color w:val="FF6600"/>
              </w:rPr>
              <w:t>Amber/</w:t>
            </w:r>
            <w:r>
              <w:t xml:space="preserve"> </w:t>
            </w:r>
            <w:r w:rsidRPr="006008CC">
              <w:rPr>
                <w:color w:val="00FF00"/>
              </w:rPr>
              <w:t>Green</w:t>
            </w:r>
          </w:p>
        </w:tc>
        <w:tc>
          <w:tcPr>
            <w:tcW w:w="2339" w:type="dxa"/>
          </w:tcPr>
          <w:p w:rsidR="005879D7" w:rsidRPr="004B1710" w:rsidRDefault="005879D7" w:rsidP="00FA5969">
            <w:pPr>
              <w:pStyle w:val="Heading1"/>
            </w:pPr>
            <w:proofErr w:type="spellStart"/>
            <w:r w:rsidRPr="004B1710">
              <w:t>Self Assessed</w:t>
            </w:r>
            <w:proofErr w:type="spellEnd"/>
            <w:r w:rsidRPr="004B1710">
              <w:t xml:space="preserve"> Rating</w:t>
            </w:r>
          </w:p>
        </w:tc>
      </w:tr>
      <w:tr w:rsidR="005879D7" w:rsidRPr="004B1710" w:rsidTr="00FA5969">
        <w:trPr>
          <w:cantSplit/>
          <w:trHeight w:val="833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A training plan is 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in place to 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aise Awareness of Prevent 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so that key staff and 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overnors understand the risk of radicalisation and extremism and know how to recognise and refer children who may be vulnerable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 w:val="restart"/>
          </w:tcPr>
          <w:p w:rsidR="005879D7" w:rsidRPr="004B1710" w:rsidRDefault="005879D7" w:rsidP="00FA596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F0000"/>
                <w:sz w:val="20"/>
                <w:szCs w:val="20"/>
              </w:rPr>
              <w:t>Red (R): not able to evidence any</w:t>
            </w:r>
          </w:p>
          <w:p w:rsidR="005879D7" w:rsidRPr="004B1710" w:rsidRDefault="005879D7" w:rsidP="00FA5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79646"/>
                <w:sz w:val="20"/>
                <w:szCs w:val="20"/>
              </w:rPr>
              <w:t>Amber (A): evidence of some but not all</w:t>
            </w:r>
          </w:p>
          <w:p w:rsidR="005879D7" w:rsidRPr="004B1710" w:rsidRDefault="005879D7" w:rsidP="00FA596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00B050"/>
                <w:sz w:val="20"/>
                <w:szCs w:val="20"/>
              </w:rPr>
              <w:t>Green (G): evidence of all and more</w:t>
            </w: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Further training on the Prevent agenda is made available to the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425B81">
              <w:rPr>
                <w:rFonts w:ascii="Arial" w:hAnsi="Arial" w:cs="Arial"/>
                <w:sz w:val="22"/>
                <w:szCs w:val="22"/>
              </w:rPr>
              <w:t xml:space="preserve">trategic </w:t>
            </w:r>
            <w:proofErr w:type="gramStart"/>
            <w:r w:rsidR="00425B81">
              <w:rPr>
                <w:rFonts w:ascii="Arial" w:hAnsi="Arial" w:cs="Arial"/>
                <w:sz w:val="22"/>
                <w:szCs w:val="22"/>
              </w:rPr>
              <w:t>Prevent  Lead</w:t>
            </w:r>
            <w:proofErr w:type="gramEnd"/>
            <w:r w:rsidR="00425B81">
              <w:rPr>
                <w:rFonts w:ascii="Arial" w:hAnsi="Arial" w:cs="Arial"/>
                <w:sz w:val="22"/>
                <w:szCs w:val="22"/>
              </w:rPr>
              <w:t>, Safeguarding L</w:t>
            </w:r>
            <w:r w:rsidRPr="008D62C7">
              <w:rPr>
                <w:rFonts w:ascii="Arial" w:hAnsi="Arial" w:cs="Arial"/>
                <w:sz w:val="22"/>
                <w:szCs w:val="22"/>
              </w:rPr>
              <w:t>eads and other relevant staff where appropriate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There is appropriate staff guidance and literature available to staff on the Prevent agenda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FFC000"/>
                <w:sz w:val="22"/>
              </w:rPr>
            </w:pPr>
            <w:r>
              <w:rPr>
                <w:rFonts w:ascii="Arial" w:hAnsi="Arial" w:cs="Arial"/>
                <w:b/>
                <w:color w:val="FFC000"/>
                <w:sz w:val="22"/>
              </w:rPr>
              <w:t>A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</w:trPr>
        <w:tc>
          <w:tcPr>
            <w:tcW w:w="14508" w:type="dxa"/>
            <w:gridSpan w:val="5"/>
            <w:shd w:val="clear" w:color="auto" w:fill="D6E3BC"/>
          </w:tcPr>
          <w:p w:rsidR="005879D7" w:rsidRPr="004B1710" w:rsidRDefault="005879D7" w:rsidP="00FA5969">
            <w:pPr>
              <w:pStyle w:val="Heading1"/>
            </w:pPr>
          </w:p>
          <w:p w:rsidR="005879D7" w:rsidRDefault="005879D7" w:rsidP="00FA5969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 xml:space="preserve">3. RISK ASSESSMENT – Risks around extremism are understood and </w:t>
            </w:r>
            <w:r w:rsidRPr="004B1710">
              <w:rPr>
                <w:sz w:val="24"/>
              </w:rPr>
              <w:t>appropriate referral process is in place</w:t>
            </w:r>
          </w:p>
          <w:p w:rsidR="005879D7" w:rsidRPr="00820A11" w:rsidRDefault="005879D7" w:rsidP="00FA5969"/>
        </w:tc>
      </w:tr>
      <w:tr w:rsidR="005879D7" w:rsidRPr="004B1710" w:rsidTr="00FA5969">
        <w:tc>
          <w:tcPr>
            <w:tcW w:w="10718" w:type="dxa"/>
            <w:gridSpan w:val="2"/>
            <w:vAlign w:val="bottom"/>
          </w:tcPr>
          <w:p w:rsidR="005879D7" w:rsidRPr="004B1710" w:rsidRDefault="005879D7" w:rsidP="00FA5969">
            <w:pPr>
              <w:pStyle w:val="Heading1"/>
            </w:pPr>
            <w:r w:rsidRPr="004B1710">
              <w:t>Evidence</w:t>
            </w:r>
          </w:p>
        </w:tc>
        <w:tc>
          <w:tcPr>
            <w:tcW w:w="1451" w:type="dxa"/>
            <w:gridSpan w:val="2"/>
            <w:vAlign w:val="bottom"/>
          </w:tcPr>
          <w:p w:rsidR="005879D7" w:rsidRPr="004B1710" w:rsidRDefault="005879D7" w:rsidP="00FA5969">
            <w:pPr>
              <w:pStyle w:val="Heading1"/>
            </w:pPr>
            <w:r w:rsidRPr="006008CC">
              <w:rPr>
                <w:color w:val="FF0000"/>
              </w:rPr>
              <w:t>Red/</w:t>
            </w:r>
            <w:r w:rsidRPr="006008CC">
              <w:rPr>
                <w:color w:val="FF6600"/>
              </w:rPr>
              <w:t>Amber/</w:t>
            </w:r>
            <w:r>
              <w:t xml:space="preserve"> </w:t>
            </w:r>
            <w:r w:rsidRPr="006008CC">
              <w:rPr>
                <w:color w:val="00FF00"/>
              </w:rPr>
              <w:t>Green</w:t>
            </w:r>
          </w:p>
        </w:tc>
        <w:tc>
          <w:tcPr>
            <w:tcW w:w="2339" w:type="dxa"/>
            <w:vAlign w:val="bottom"/>
          </w:tcPr>
          <w:p w:rsidR="005879D7" w:rsidRPr="004B1710" w:rsidRDefault="005879D7" w:rsidP="00FA5969">
            <w:pPr>
              <w:pStyle w:val="Heading1"/>
            </w:pPr>
            <w:proofErr w:type="spellStart"/>
            <w:r w:rsidRPr="004B1710">
              <w:t>Self Assessed</w:t>
            </w:r>
            <w:proofErr w:type="spellEnd"/>
            <w:r w:rsidRPr="004B1710">
              <w:t xml:space="preserve"> Rating</w:t>
            </w:r>
          </w:p>
        </w:tc>
      </w:tr>
      <w:tr w:rsidR="005879D7" w:rsidRPr="004B1710" w:rsidTr="00FA5969">
        <w:tc>
          <w:tcPr>
            <w:tcW w:w="10718" w:type="dxa"/>
            <w:gridSpan w:val="2"/>
          </w:tcPr>
          <w:p w:rsidR="005879D7" w:rsidRPr="008D62C7" w:rsidRDefault="005879D7" w:rsidP="00FA5969">
            <w:pPr>
              <w:pStyle w:val="Heading1"/>
              <w:rPr>
                <w:b w:val="0"/>
                <w:color w:val="000000"/>
                <w:szCs w:val="22"/>
              </w:rPr>
            </w:pPr>
            <w:r w:rsidRPr="008D62C7">
              <w:rPr>
                <w:b w:val="0"/>
                <w:color w:val="000000"/>
                <w:szCs w:val="22"/>
              </w:rPr>
              <w:t xml:space="preserve">All key staff </w:t>
            </w:r>
            <w:proofErr w:type="gramStart"/>
            <w:r w:rsidRPr="008D62C7">
              <w:rPr>
                <w:b w:val="0"/>
                <w:color w:val="000000"/>
                <w:szCs w:val="22"/>
              </w:rPr>
              <w:t>show</w:t>
            </w:r>
            <w:proofErr w:type="gramEnd"/>
            <w:r w:rsidRPr="008D62C7">
              <w:rPr>
                <w:b w:val="0"/>
                <w:color w:val="000000"/>
                <w:szCs w:val="22"/>
              </w:rPr>
              <w:t xml:space="preserve"> understanding of risks affecting children and how to support individual children who may be at risk</w:t>
            </w:r>
            <w:r w:rsidR="00A81BA8" w:rsidRPr="008D62C7">
              <w:rPr>
                <w:b w:val="0"/>
                <w:color w:val="000000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pStyle w:val="Heading1"/>
              <w:rPr>
                <w:b w:val="0"/>
                <w:color w:val="00B050"/>
              </w:rPr>
            </w:pPr>
            <w:r>
              <w:rPr>
                <w:b w:val="0"/>
                <w:color w:val="00B050"/>
              </w:rPr>
              <w:t>G</w:t>
            </w:r>
          </w:p>
        </w:tc>
        <w:tc>
          <w:tcPr>
            <w:tcW w:w="2339" w:type="dxa"/>
            <w:vMerge w:val="restart"/>
          </w:tcPr>
          <w:p w:rsidR="005879D7" w:rsidRPr="004B1710" w:rsidRDefault="005879D7" w:rsidP="00FA596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F0000"/>
                <w:sz w:val="20"/>
                <w:szCs w:val="20"/>
              </w:rPr>
              <w:t>Red (R): not able to evidence any</w:t>
            </w:r>
          </w:p>
          <w:p w:rsidR="005879D7" w:rsidRPr="004B1710" w:rsidRDefault="005879D7" w:rsidP="00FA5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1710">
              <w:rPr>
                <w:rFonts w:ascii="Arial" w:hAnsi="Arial" w:cs="Arial"/>
                <w:b/>
                <w:color w:val="F79646"/>
                <w:sz w:val="20"/>
                <w:szCs w:val="20"/>
              </w:rPr>
              <w:t>Amber (A): evidence of some but not all</w:t>
            </w:r>
          </w:p>
          <w:p w:rsidR="005879D7" w:rsidRPr="004B1710" w:rsidRDefault="005879D7" w:rsidP="00FA5969">
            <w:r w:rsidRPr="004B1710">
              <w:rPr>
                <w:rFonts w:ascii="Arial" w:hAnsi="Arial" w:cs="Arial"/>
                <w:b/>
                <w:color w:val="00B050"/>
                <w:sz w:val="20"/>
                <w:szCs w:val="20"/>
              </w:rPr>
              <w:t>Green (G): evidence of all and more</w:t>
            </w:r>
          </w:p>
        </w:tc>
      </w:tr>
      <w:tr w:rsidR="005879D7" w:rsidRPr="004B1710" w:rsidTr="00FA5969">
        <w:trPr>
          <w:cantSplit/>
          <w:trHeight w:val="252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A81BA8"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 single point of contact 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for any Prevent concerns raised by staff, students or parents within the school has been identified</w:t>
            </w:r>
            <w:r w:rsidR="00425B81">
              <w:rPr>
                <w:rFonts w:ascii="Arial" w:hAnsi="Arial" w:cs="Arial"/>
                <w:color w:val="000000"/>
                <w:sz w:val="22"/>
                <w:szCs w:val="22"/>
              </w:rPr>
              <w:t xml:space="preserve"> (D Cronin Head and in her absence D </w:t>
            </w:r>
            <w:proofErr w:type="spellStart"/>
            <w:r w:rsidR="00425B81">
              <w:rPr>
                <w:rFonts w:ascii="Arial" w:hAnsi="Arial" w:cs="Arial"/>
                <w:color w:val="000000"/>
                <w:sz w:val="22"/>
                <w:szCs w:val="22"/>
              </w:rPr>
              <w:t>Bettridge</w:t>
            </w:r>
            <w:proofErr w:type="spellEnd"/>
            <w:r w:rsidR="00425B81">
              <w:rPr>
                <w:rFonts w:ascii="Arial" w:hAnsi="Arial" w:cs="Arial"/>
                <w:color w:val="000000"/>
                <w:sz w:val="22"/>
                <w:szCs w:val="22"/>
              </w:rPr>
              <w:t xml:space="preserve"> Deputy)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A81BA8" w:rsidP="00FA59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A single point of contact </w:t>
            </w:r>
            <w:r w:rsidR="005879D7" w:rsidRPr="008D62C7">
              <w:rPr>
                <w:rFonts w:ascii="Arial" w:hAnsi="Arial" w:cs="Arial"/>
                <w:color w:val="000000"/>
                <w:sz w:val="22"/>
                <w:szCs w:val="22"/>
              </w:rPr>
              <w:t>understands when it is appropriate to make a referral to the Channel programme</w:t>
            </w: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425B81" w:rsidP="00FA5969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color w:val="FFC000"/>
                <w:sz w:val="22"/>
              </w:rPr>
              <w:t>A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Prevent referrals/notifications are being managed or overseen by relevant staff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FFC000"/>
                <w:sz w:val="22"/>
              </w:rPr>
            </w:pPr>
            <w:r>
              <w:rPr>
                <w:rFonts w:ascii="Arial" w:hAnsi="Arial" w:cs="Arial"/>
                <w:b/>
                <w:color w:val="FFC000"/>
                <w:sz w:val="22"/>
              </w:rPr>
              <w:t>A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  <w:trHeight w:val="251"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An audit trail for notification reports/referrals exists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995EAB" w:rsidRDefault="00995EAB" w:rsidP="00FA5969">
            <w:pPr>
              <w:rPr>
                <w:rFonts w:ascii="Arial" w:hAnsi="Arial" w:cs="Arial"/>
                <w:b/>
                <w:color w:val="FFC000"/>
                <w:sz w:val="22"/>
              </w:rPr>
            </w:pPr>
            <w:r>
              <w:rPr>
                <w:rFonts w:ascii="Arial" w:hAnsi="Arial" w:cs="Arial"/>
                <w:b/>
                <w:color w:val="FFC000"/>
                <w:sz w:val="22"/>
              </w:rPr>
              <w:t>A</w:t>
            </w:r>
            <w:bookmarkStart w:id="0" w:name="_GoBack"/>
            <w:bookmarkEnd w:id="0"/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5879D7" w:rsidRPr="004B1710" w:rsidTr="00FA5969">
        <w:trPr>
          <w:cantSplit/>
        </w:trPr>
        <w:tc>
          <w:tcPr>
            <w:tcW w:w="10718" w:type="dxa"/>
            <w:gridSpan w:val="2"/>
          </w:tcPr>
          <w:p w:rsidR="005879D7" w:rsidRPr="008D62C7" w:rsidRDefault="005879D7" w:rsidP="00FA5969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lastRenderedPageBreak/>
              <w:t>A process is in place to identify and develop ‘lessons learnt’</w:t>
            </w:r>
            <w:r w:rsidR="00A81BA8" w:rsidRPr="008D62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1" w:type="dxa"/>
            <w:gridSpan w:val="2"/>
          </w:tcPr>
          <w:p w:rsidR="005879D7" w:rsidRPr="00425B81" w:rsidRDefault="00425B81" w:rsidP="00FA5969">
            <w:pPr>
              <w:rPr>
                <w:rFonts w:ascii="Arial" w:hAnsi="Arial" w:cs="Arial"/>
                <w:b/>
                <w:sz w:val="22"/>
              </w:rPr>
            </w:pPr>
            <w:r w:rsidRPr="00425B81">
              <w:rPr>
                <w:rFonts w:ascii="Arial" w:hAnsi="Arial" w:cs="Arial"/>
                <w:b/>
                <w:color w:val="FFC000"/>
                <w:sz w:val="22"/>
              </w:rPr>
              <w:t>A</w:t>
            </w:r>
          </w:p>
        </w:tc>
        <w:tc>
          <w:tcPr>
            <w:tcW w:w="2339" w:type="dxa"/>
            <w:vMerge/>
          </w:tcPr>
          <w:p w:rsidR="005879D7" w:rsidRPr="004B1710" w:rsidRDefault="005879D7" w:rsidP="00FA5969">
            <w:pPr>
              <w:rPr>
                <w:rFonts w:ascii="Arial" w:hAnsi="Arial" w:cs="Arial"/>
                <w:sz w:val="22"/>
              </w:rPr>
            </w:pPr>
          </w:p>
        </w:tc>
      </w:tr>
      <w:tr w:rsidR="008D62C7" w:rsidRPr="008D62C7" w:rsidTr="00FA5969">
        <w:trPr>
          <w:cantSplit/>
        </w:trPr>
        <w:tc>
          <w:tcPr>
            <w:tcW w:w="14508" w:type="dxa"/>
            <w:gridSpan w:val="5"/>
            <w:shd w:val="clear" w:color="auto" w:fill="D6E3BC"/>
          </w:tcPr>
          <w:p w:rsidR="008D62C7" w:rsidRPr="008D62C7" w:rsidRDefault="008D62C7" w:rsidP="008D62C7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</w:rPr>
            </w:pPr>
          </w:p>
          <w:p w:rsidR="008D62C7" w:rsidRPr="008D62C7" w:rsidRDefault="008D62C7" w:rsidP="008D62C7">
            <w:pPr>
              <w:keepNext/>
              <w:outlineLvl w:val="0"/>
              <w:rPr>
                <w:rFonts w:ascii="Arial" w:hAnsi="Arial" w:cs="Arial"/>
                <w:b/>
                <w:bCs/>
              </w:rPr>
            </w:pPr>
            <w:r w:rsidRPr="008D62C7">
              <w:rPr>
                <w:rFonts w:ascii="Arial" w:hAnsi="Arial" w:cs="Arial"/>
                <w:b/>
                <w:bCs/>
              </w:rPr>
              <w:t xml:space="preserve">4. </w:t>
            </w:r>
            <w:r w:rsidRPr="008D62C7">
              <w:rPr>
                <w:rFonts w:ascii="Arial" w:hAnsi="Arial" w:cs="Arial"/>
                <w:b/>
                <w:bCs/>
                <w:sz w:val="22"/>
                <w:szCs w:val="22"/>
              </w:rPr>
              <w:t>WORKING IN PARTNERSHIP –</w:t>
            </w:r>
            <w:r w:rsidRPr="008D62C7">
              <w:rPr>
                <w:rFonts w:ascii="Arial" w:hAnsi="Arial" w:cs="Arial"/>
                <w:b/>
                <w:bCs/>
              </w:rPr>
              <w:t xml:space="preserve"> </w:t>
            </w:r>
            <w:r w:rsidRPr="008D62C7">
              <w:rPr>
                <w:rFonts w:ascii="Arial" w:hAnsi="Arial" w:cs="Arial"/>
                <w:b/>
                <w:bCs/>
                <w:sz w:val="22"/>
                <w:szCs w:val="22"/>
              </w:rPr>
              <w:t>develop multi-agency approaches to address safeguarding issues and deliver quality curriculums</w:t>
            </w:r>
          </w:p>
        </w:tc>
      </w:tr>
      <w:tr w:rsidR="008D62C7" w:rsidRPr="008D62C7" w:rsidTr="00FA5969">
        <w:tc>
          <w:tcPr>
            <w:tcW w:w="10707" w:type="dxa"/>
            <w:vAlign w:val="bottom"/>
          </w:tcPr>
          <w:p w:rsidR="008D62C7" w:rsidRPr="008D62C7" w:rsidRDefault="008D62C7" w:rsidP="008D62C7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</w:rPr>
            </w:pPr>
            <w:r w:rsidRPr="008D62C7">
              <w:rPr>
                <w:rFonts w:ascii="Arial" w:hAnsi="Arial" w:cs="Arial"/>
                <w:b/>
                <w:bCs/>
                <w:sz w:val="22"/>
              </w:rPr>
              <w:t>Evidence</w:t>
            </w:r>
          </w:p>
        </w:tc>
        <w:tc>
          <w:tcPr>
            <w:tcW w:w="1451" w:type="dxa"/>
            <w:gridSpan w:val="2"/>
            <w:vAlign w:val="bottom"/>
          </w:tcPr>
          <w:p w:rsidR="008D62C7" w:rsidRPr="008D62C7" w:rsidRDefault="008D62C7" w:rsidP="008D62C7">
            <w:pPr>
              <w:keepNext/>
              <w:outlineLvl w:val="0"/>
              <w:rPr>
                <w:rFonts w:ascii="Arial" w:hAnsi="Arial" w:cs="Arial"/>
                <w:b/>
                <w:bCs/>
                <w:sz w:val="22"/>
              </w:rPr>
            </w:pPr>
            <w:r w:rsidRPr="008D62C7">
              <w:rPr>
                <w:rFonts w:ascii="Arial" w:hAnsi="Arial" w:cs="Arial"/>
                <w:b/>
                <w:bCs/>
                <w:color w:val="FF0000"/>
                <w:sz w:val="22"/>
              </w:rPr>
              <w:t>Red/</w:t>
            </w:r>
            <w:r w:rsidRPr="008D62C7">
              <w:rPr>
                <w:rFonts w:ascii="Arial" w:hAnsi="Arial" w:cs="Arial"/>
                <w:b/>
                <w:bCs/>
                <w:color w:val="FF6600"/>
                <w:sz w:val="22"/>
              </w:rPr>
              <w:t>Amber/</w:t>
            </w:r>
            <w:r w:rsidRPr="008D62C7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D62C7">
              <w:rPr>
                <w:rFonts w:ascii="Arial" w:hAnsi="Arial" w:cs="Arial"/>
                <w:b/>
                <w:bCs/>
                <w:color w:val="00FF00"/>
                <w:sz w:val="22"/>
              </w:rPr>
              <w:t>Green</w:t>
            </w:r>
          </w:p>
        </w:tc>
        <w:tc>
          <w:tcPr>
            <w:tcW w:w="2350" w:type="dxa"/>
            <w:gridSpan w:val="2"/>
            <w:vAlign w:val="bottom"/>
          </w:tcPr>
          <w:p w:rsidR="008D62C7" w:rsidRPr="008D62C7" w:rsidRDefault="008D62C7" w:rsidP="008D62C7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D62C7">
              <w:rPr>
                <w:rFonts w:ascii="Arial" w:hAnsi="Arial" w:cs="Arial"/>
                <w:b/>
                <w:bCs/>
                <w:sz w:val="20"/>
                <w:szCs w:val="20"/>
              </w:rPr>
              <w:t>Self Assessed</w:t>
            </w:r>
            <w:proofErr w:type="spellEnd"/>
            <w:r w:rsidRPr="008D62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Rating</w:t>
            </w:r>
          </w:p>
        </w:tc>
      </w:tr>
      <w:tr w:rsidR="008D62C7" w:rsidRPr="008D62C7" w:rsidTr="00FA5969">
        <w:trPr>
          <w:cantSplit/>
          <w:trHeight w:val="252"/>
        </w:trPr>
        <w:tc>
          <w:tcPr>
            <w:tcW w:w="10707" w:type="dxa"/>
            <w:vAlign w:val="center"/>
          </w:tcPr>
          <w:p w:rsidR="008D62C7" w:rsidRPr="008D62C7" w:rsidRDefault="008D62C7" w:rsidP="008D62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sz w:val="22"/>
                <w:szCs w:val="22"/>
              </w:rPr>
              <w:t>Partner agency communication channels have been developed – Prevent Lead at Wirral Council and Merseyside Police are first port of call when outside agencies need to be consulted or for making a Channel referral.</w:t>
            </w:r>
          </w:p>
        </w:tc>
        <w:tc>
          <w:tcPr>
            <w:tcW w:w="1451" w:type="dxa"/>
            <w:gridSpan w:val="2"/>
          </w:tcPr>
          <w:p w:rsidR="008D62C7" w:rsidRPr="00995EAB" w:rsidRDefault="00995EAB" w:rsidP="008D62C7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50" w:type="dxa"/>
            <w:gridSpan w:val="2"/>
            <w:vMerge w:val="restart"/>
          </w:tcPr>
          <w:p w:rsidR="008D62C7" w:rsidRPr="008D62C7" w:rsidRDefault="008D62C7" w:rsidP="008D62C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D62C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8D62C7" w:rsidRPr="008D62C7" w:rsidRDefault="008D62C7" w:rsidP="008D62C7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D62C7">
              <w:rPr>
                <w:rFonts w:ascii="Arial" w:hAnsi="Arial" w:cs="Arial"/>
                <w:b/>
                <w:color w:val="FF0000"/>
                <w:sz w:val="20"/>
                <w:szCs w:val="20"/>
              </w:rPr>
              <w:t>Red (R): not able to evidence any</w:t>
            </w:r>
          </w:p>
          <w:p w:rsidR="008D62C7" w:rsidRPr="008D62C7" w:rsidRDefault="008D62C7" w:rsidP="008D62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62C7">
              <w:rPr>
                <w:rFonts w:ascii="Arial" w:hAnsi="Arial" w:cs="Arial"/>
                <w:b/>
                <w:color w:val="F79646"/>
                <w:sz w:val="20"/>
                <w:szCs w:val="20"/>
              </w:rPr>
              <w:t>Amber (A): evidence of some but not all</w:t>
            </w:r>
          </w:p>
          <w:p w:rsidR="008D62C7" w:rsidRPr="008D62C7" w:rsidRDefault="008D62C7" w:rsidP="008D62C7">
            <w:pPr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8D62C7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Green (G): evidence </w:t>
            </w:r>
          </w:p>
          <w:p w:rsidR="008D62C7" w:rsidRPr="008D62C7" w:rsidRDefault="008D62C7" w:rsidP="008D62C7">
            <w:pPr>
              <w:rPr>
                <w:rFonts w:ascii="Arial" w:hAnsi="Arial" w:cs="Arial"/>
                <w:sz w:val="20"/>
                <w:szCs w:val="20"/>
              </w:rPr>
            </w:pPr>
            <w:r w:rsidRPr="008D62C7">
              <w:rPr>
                <w:rFonts w:ascii="Arial" w:hAnsi="Arial" w:cs="Arial"/>
                <w:b/>
                <w:color w:val="00B050"/>
                <w:sz w:val="20"/>
                <w:szCs w:val="20"/>
              </w:rPr>
              <w:t>of all and more</w:t>
            </w:r>
          </w:p>
        </w:tc>
      </w:tr>
      <w:tr w:rsidR="008D62C7" w:rsidRPr="008D62C7" w:rsidTr="00FA5969">
        <w:trPr>
          <w:cantSplit/>
          <w:trHeight w:val="251"/>
        </w:trPr>
        <w:tc>
          <w:tcPr>
            <w:tcW w:w="10707" w:type="dxa"/>
            <w:vAlign w:val="bottom"/>
          </w:tcPr>
          <w:p w:rsidR="008D62C7" w:rsidRPr="008D62C7" w:rsidRDefault="008D62C7" w:rsidP="008D62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D62C7" w:rsidRPr="008D62C7" w:rsidRDefault="008D62C7" w:rsidP="008D62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The single point of contact </w:t>
            </w:r>
            <w:proofErr w:type="gramStart"/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is  identified</w:t>
            </w:r>
            <w:proofErr w:type="gramEnd"/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 in Children’s Services to liaise on a range of safeguarding issues. </w:t>
            </w:r>
          </w:p>
        </w:tc>
        <w:tc>
          <w:tcPr>
            <w:tcW w:w="1451" w:type="dxa"/>
            <w:gridSpan w:val="2"/>
          </w:tcPr>
          <w:p w:rsidR="008D62C7" w:rsidRPr="00995EAB" w:rsidRDefault="00995EAB" w:rsidP="008D62C7">
            <w:pPr>
              <w:rPr>
                <w:rFonts w:ascii="Arial" w:hAnsi="Arial" w:cs="Arial"/>
                <w:b/>
                <w:color w:val="00B050"/>
                <w:sz w:val="22"/>
              </w:rPr>
            </w:pPr>
            <w:r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50" w:type="dxa"/>
            <w:gridSpan w:val="2"/>
            <w:vMerge/>
          </w:tcPr>
          <w:p w:rsidR="008D62C7" w:rsidRPr="008D62C7" w:rsidRDefault="008D62C7" w:rsidP="008D62C7">
            <w:pPr>
              <w:rPr>
                <w:rFonts w:ascii="Arial" w:hAnsi="Arial" w:cs="Arial"/>
                <w:sz w:val="22"/>
              </w:rPr>
            </w:pPr>
          </w:p>
        </w:tc>
      </w:tr>
      <w:tr w:rsidR="008D62C7" w:rsidRPr="008D62C7" w:rsidTr="00FA5969">
        <w:trPr>
          <w:cantSplit/>
          <w:trHeight w:val="251"/>
        </w:trPr>
        <w:tc>
          <w:tcPr>
            <w:tcW w:w="10707" w:type="dxa"/>
            <w:vAlign w:val="bottom"/>
          </w:tcPr>
          <w:p w:rsidR="008D62C7" w:rsidRPr="008D62C7" w:rsidRDefault="008D62C7" w:rsidP="008D62C7">
            <w:pPr>
              <w:rPr>
                <w:rFonts w:ascii="Arial" w:hAnsi="Arial" w:cs="Arial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Effective links established with Children’s Services for support on radicalisation and </w:t>
            </w:r>
            <w:proofErr w:type="gramStart"/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>extremism .</w:t>
            </w:r>
            <w:proofErr w:type="gramEnd"/>
          </w:p>
        </w:tc>
        <w:tc>
          <w:tcPr>
            <w:tcW w:w="1451" w:type="dxa"/>
            <w:gridSpan w:val="2"/>
          </w:tcPr>
          <w:p w:rsidR="008D62C7" w:rsidRPr="00995EAB" w:rsidRDefault="00995EAB" w:rsidP="008D62C7">
            <w:pPr>
              <w:rPr>
                <w:rFonts w:ascii="Arial" w:hAnsi="Arial" w:cs="Arial"/>
                <w:b/>
                <w:color w:val="92D050"/>
                <w:sz w:val="22"/>
              </w:rPr>
            </w:pPr>
            <w:r w:rsidRPr="00995EAB"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50" w:type="dxa"/>
            <w:gridSpan w:val="2"/>
            <w:vMerge/>
          </w:tcPr>
          <w:p w:rsidR="008D62C7" w:rsidRPr="008D62C7" w:rsidRDefault="008D62C7" w:rsidP="008D62C7">
            <w:pPr>
              <w:rPr>
                <w:rFonts w:ascii="Arial" w:hAnsi="Arial" w:cs="Arial"/>
                <w:sz w:val="22"/>
              </w:rPr>
            </w:pPr>
          </w:p>
        </w:tc>
      </w:tr>
      <w:tr w:rsidR="008D62C7" w:rsidRPr="008D62C7" w:rsidTr="00FA5969">
        <w:trPr>
          <w:cantSplit/>
          <w:trHeight w:val="251"/>
        </w:trPr>
        <w:tc>
          <w:tcPr>
            <w:tcW w:w="10707" w:type="dxa"/>
            <w:vAlign w:val="bottom"/>
          </w:tcPr>
          <w:p w:rsidR="008D62C7" w:rsidRPr="008D62C7" w:rsidRDefault="008D62C7" w:rsidP="008D62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62C7">
              <w:rPr>
                <w:rFonts w:ascii="Arial" w:hAnsi="Arial" w:cs="Arial"/>
                <w:color w:val="000000"/>
                <w:sz w:val="22"/>
                <w:szCs w:val="22"/>
              </w:rPr>
              <w:t xml:space="preserve">School has policy/procedure for working with partner organisations, individuals and external users of school premises.  </w:t>
            </w:r>
          </w:p>
        </w:tc>
        <w:tc>
          <w:tcPr>
            <w:tcW w:w="1451" w:type="dxa"/>
            <w:gridSpan w:val="2"/>
          </w:tcPr>
          <w:p w:rsidR="008D62C7" w:rsidRPr="00995EAB" w:rsidRDefault="00995EAB" w:rsidP="008D62C7">
            <w:pPr>
              <w:rPr>
                <w:rFonts w:ascii="Arial" w:hAnsi="Arial" w:cs="Arial"/>
                <w:b/>
                <w:sz w:val="22"/>
              </w:rPr>
            </w:pPr>
            <w:r w:rsidRPr="00995EAB">
              <w:rPr>
                <w:rFonts w:ascii="Arial" w:hAnsi="Arial" w:cs="Arial"/>
                <w:b/>
                <w:color w:val="00B050"/>
                <w:sz w:val="22"/>
              </w:rPr>
              <w:t>G</w:t>
            </w:r>
          </w:p>
        </w:tc>
        <w:tc>
          <w:tcPr>
            <w:tcW w:w="2350" w:type="dxa"/>
            <w:gridSpan w:val="2"/>
          </w:tcPr>
          <w:p w:rsidR="008D62C7" w:rsidRPr="008D62C7" w:rsidRDefault="008D62C7" w:rsidP="008D62C7">
            <w:pPr>
              <w:rPr>
                <w:rFonts w:ascii="Arial" w:hAnsi="Arial" w:cs="Arial"/>
                <w:sz w:val="22"/>
              </w:rPr>
            </w:pPr>
          </w:p>
        </w:tc>
      </w:tr>
    </w:tbl>
    <w:p w:rsidR="00C5273D" w:rsidRDefault="00C5273D"/>
    <w:sectPr w:rsidR="00C5273D" w:rsidSect="006F525D">
      <w:headerReference w:type="default" r:id="rId8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02" w:rsidRDefault="00F67C02" w:rsidP="00275909">
      <w:r>
        <w:separator/>
      </w:r>
    </w:p>
  </w:endnote>
  <w:endnote w:type="continuationSeparator" w:id="0">
    <w:p w:rsidR="00F67C02" w:rsidRDefault="00F67C02" w:rsidP="0027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02" w:rsidRDefault="00F67C02" w:rsidP="00275909">
      <w:r>
        <w:separator/>
      </w:r>
    </w:p>
  </w:footnote>
  <w:footnote w:type="continuationSeparator" w:id="0">
    <w:p w:rsidR="00F67C02" w:rsidRDefault="00F67C02" w:rsidP="0027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09" w:rsidRPr="00275909" w:rsidRDefault="00425B81" w:rsidP="00275909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THINGWALL</w:t>
    </w:r>
    <w:r w:rsidR="006F525D">
      <w:rPr>
        <w:rFonts w:ascii="Arial" w:hAnsi="Arial" w:cs="Arial"/>
        <w:b/>
      </w:rPr>
      <w:t xml:space="preserve"> PRIMARY </w:t>
    </w:r>
    <w:r>
      <w:rPr>
        <w:rFonts w:ascii="Arial" w:hAnsi="Arial" w:cs="Arial"/>
        <w:b/>
      </w:rPr>
      <w:t xml:space="preserve">SCHOOL </w:t>
    </w:r>
    <w:r w:rsidR="00275909" w:rsidRPr="00275909">
      <w:rPr>
        <w:rFonts w:ascii="Arial" w:hAnsi="Arial" w:cs="Arial"/>
        <w:b/>
      </w:rPr>
      <w:t>PREVENT RISK ASSESSMENT</w:t>
    </w:r>
    <w:r w:rsidR="006F525D">
      <w:rPr>
        <w:rFonts w:ascii="Arial" w:hAnsi="Arial" w:cs="Arial"/>
        <w:b/>
      </w:rPr>
      <w:t xml:space="preserve"> SEPTEMBER 2015</w:t>
    </w:r>
  </w:p>
  <w:p w:rsidR="00275909" w:rsidRDefault="00275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D7"/>
    <w:rsid w:val="00275909"/>
    <w:rsid w:val="00425B81"/>
    <w:rsid w:val="005879D7"/>
    <w:rsid w:val="006F525D"/>
    <w:rsid w:val="008D62C7"/>
    <w:rsid w:val="00995EAB"/>
    <w:rsid w:val="00A81BA8"/>
    <w:rsid w:val="00C5273D"/>
    <w:rsid w:val="00F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D7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5879D7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79D7"/>
    <w:rPr>
      <w:rFonts w:eastAsia="Times New Roman"/>
      <w:b/>
      <w:bCs/>
      <w:sz w:val="22"/>
      <w:szCs w:val="24"/>
    </w:rPr>
  </w:style>
  <w:style w:type="character" w:styleId="Emphasis">
    <w:name w:val="Emphasis"/>
    <w:qFormat/>
    <w:rsid w:val="005879D7"/>
    <w:rPr>
      <w:rFonts w:ascii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275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0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09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D7"/>
    <w:pPr>
      <w:spacing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5879D7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79D7"/>
    <w:rPr>
      <w:rFonts w:eastAsia="Times New Roman"/>
      <w:b/>
      <w:bCs/>
      <w:sz w:val="22"/>
      <w:szCs w:val="24"/>
    </w:rPr>
  </w:style>
  <w:style w:type="character" w:styleId="Emphasis">
    <w:name w:val="Emphasis"/>
    <w:qFormat/>
    <w:rsid w:val="005879D7"/>
    <w:rPr>
      <w:rFonts w:ascii="Times New Roman" w:hAnsi="Times New Roman" w:cs="Times New Roman"/>
      <w:i/>
      <w:iCs/>
    </w:rPr>
  </w:style>
  <w:style w:type="paragraph" w:styleId="Header">
    <w:name w:val="header"/>
    <w:basedOn w:val="Normal"/>
    <w:link w:val="HeaderChar"/>
    <w:uiPriority w:val="99"/>
    <w:unhideWhenUsed/>
    <w:rsid w:val="00275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09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09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CE3A-8C4D-4A52-A449-7A4FC02F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82F418B3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 RISK ASSESSMENT</vt:lpstr>
    </vt:vector>
  </TitlesOfParts>
  <Company>Wirral Council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RISK ASSESSMENT</dc:title>
  <dc:creator>Talbot, Susan</dc:creator>
  <cp:lastModifiedBy>Danielle Cronin</cp:lastModifiedBy>
  <cp:revision>2</cp:revision>
  <dcterms:created xsi:type="dcterms:W3CDTF">2015-09-17T12:11:00Z</dcterms:created>
  <dcterms:modified xsi:type="dcterms:W3CDTF">2015-09-17T12:11:00Z</dcterms:modified>
</cp:coreProperties>
</file>