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526"/>
        <w:tblW w:w="1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512"/>
        <w:gridCol w:w="1848"/>
        <w:gridCol w:w="6082"/>
      </w:tblGrid>
      <w:tr w:rsidR="00485D46" w:rsidRPr="0087591A" w:rsidTr="00485D46">
        <w:trPr>
          <w:tblHeader/>
        </w:trPr>
        <w:tc>
          <w:tcPr>
            <w:tcW w:w="3403" w:type="dxa"/>
            <w:shd w:val="clear" w:color="auto" w:fill="D9D9D9"/>
          </w:tcPr>
          <w:p w:rsidR="00485D46" w:rsidRPr="0087591A" w:rsidRDefault="00485D46" w:rsidP="00485D4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Objective</w:t>
            </w:r>
          </w:p>
        </w:tc>
        <w:tc>
          <w:tcPr>
            <w:tcW w:w="7512" w:type="dxa"/>
            <w:shd w:val="clear" w:color="auto" w:fill="D9D9D9"/>
          </w:tcPr>
          <w:p w:rsidR="00485D46" w:rsidRPr="0087591A" w:rsidRDefault="00485D46" w:rsidP="00485D4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Action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</w:p>
        </w:tc>
        <w:tc>
          <w:tcPr>
            <w:tcW w:w="1848" w:type="dxa"/>
            <w:shd w:val="clear" w:color="auto" w:fill="D9D9D9"/>
          </w:tcPr>
          <w:p w:rsidR="00485D46" w:rsidRPr="0087591A" w:rsidRDefault="00485D46" w:rsidP="00485D4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Who is responsible for implementing?</w:t>
            </w:r>
          </w:p>
        </w:tc>
        <w:tc>
          <w:tcPr>
            <w:tcW w:w="6082" w:type="dxa"/>
            <w:shd w:val="clear" w:color="auto" w:fill="D9D9D9"/>
          </w:tcPr>
          <w:p w:rsidR="00485D46" w:rsidRPr="0087591A" w:rsidRDefault="00485D46" w:rsidP="00485D4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  <w:r w:rsidRPr="0087591A">
              <w:rPr>
                <w:rFonts w:ascii="Arial" w:hAnsi="Arial" w:cs="Arial"/>
                <w:b/>
                <w:sz w:val="21"/>
                <w:szCs w:val="21"/>
                <w:lang w:val="en-US"/>
              </w:rPr>
              <w:t>uccess indicators</w:t>
            </w: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(Y1)</w:t>
            </w:r>
          </w:p>
        </w:tc>
      </w:tr>
      <w:tr w:rsidR="00485D46" w:rsidRPr="0087591A" w:rsidTr="00485D46">
        <w:tc>
          <w:tcPr>
            <w:tcW w:w="3403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To increase the ethnic divers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>ity of staff so that by Sep 2028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least 5% of staff are from ethnic minorities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512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Review and amend Trust and school websites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as new ones created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Update recruitment strategy, including check equal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opps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after shortlist, advert EDI statements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once HR lead in place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Champion need for diverse workforce at all levels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Review recruitment paperwork to ensure promotes inclusive recruitment</w:t>
            </w: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Monitor recruitment data both applications and successful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through HR lead and potential new software</w:t>
            </w:r>
          </w:p>
        </w:tc>
        <w:tc>
          <w:tcPr>
            <w:tcW w:w="1848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Trust Exec</w:t>
            </w: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  <w:proofErr w:type="spellEnd"/>
          </w:p>
        </w:tc>
        <w:tc>
          <w:tcPr>
            <w:tcW w:w="6082" w:type="dxa"/>
          </w:tcPr>
          <w:p w:rsidR="00485D46" w:rsidRDefault="00485D46" w:rsidP="00485D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Increase in number of applicants </w:t>
            </w:r>
          </w:p>
          <w:p w:rsidR="00485D46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from ethnic minorities</w:t>
            </w:r>
          </w:p>
          <w:p w:rsidR="00485D46" w:rsidRDefault="00485D46" w:rsidP="00485D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Increase in number of staff from </w:t>
            </w:r>
          </w:p>
          <w:p w:rsidR="00485D46" w:rsidRPr="00966F14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ethnic minorities</w:t>
            </w:r>
          </w:p>
        </w:tc>
      </w:tr>
      <w:tr w:rsidR="00485D46" w:rsidRPr="0087591A" w:rsidTr="00485D46">
        <w:tc>
          <w:tcPr>
            <w:tcW w:w="3403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2. </w:t>
            </w:r>
            <w:r w:rsidRPr="00C52C01">
              <w:rPr>
                <w:rFonts w:ascii="Arial" w:hAnsi="Arial" w:cs="Arial"/>
                <w:sz w:val="21"/>
                <w:szCs w:val="21"/>
                <w:lang w:val="en-US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reduce the disadvantaged gap in reading, writing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primary and English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 secondary so that attainment is broadly in line for all pupils</w:t>
            </w: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512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Ensure all Pupil Premium website plans and statements are high quality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Disadvantage to be high on agenda for HT meetings and school meetings/SDPs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Termly monitoring of disadvantaged pupils to ensure needs addressed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Intervention plans implemented with key focus on disadvantaged pupils</w:t>
            </w: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5. All schools to monitor uptake of pupils in terms of extra- curricular opportunities, pupil roles etc. at least termly</w:t>
            </w:r>
          </w:p>
        </w:tc>
        <w:tc>
          <w:tcPr>
            <w:tcW w:w="1848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Trust Exec </w:t>
            </w:r>
          </w:p>
          <w:p w:rsidR="00485D46" w:rsidRPr="0087591A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Headteachers</w:t>
            </w:r>
            <w:proofErr w:type="spellEnd"/>
          </w:p>
        </w:tc>
        <w:tc>
          <w:tcPr>
            <w:tcW w:w="6082" w:type="dxa"/>
          </w:tcPr>
          <w:p w:rsidR="00485D46" w:rsidRDefault="00485D46" w:rsidP="00485D4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Improvement in understanding of </w:t>
            </w:r>
          </w:p>
          <w:p w:rsidR="00485D46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disadvantaged attainment and </w:t>
            </w:r>
          </w:p>
          <w:p w:rsidR="00485D46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progress</w:t>
            </w:r>
          </w:p>
          <w:p w:rsidR="00485D46" w:rsidRDefault="00485D46" w:rsidP="00485D4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Improved support for </w:t>
            </w:r>
          </w:p>
          <w:p w:rsidR="00485D46" w:rsidRDefault="00485D46" w:rsidP="00485D4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disadvantaged pupils based on </w:t>
            </w:r>
          </w:p>
          <w:p w:rsidR="00485D46" w:rsidRPr="006C3A54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data</w:t>
            </w:r>
          </w:p>
        </w:tc>
      </w:tr>
      <w:tr w:rsidR="00485D46" w:rsidRPr="0087591A" w:rsidTr="00485D46">
        <w:tc>
          <w:tcPr>
            <w:tcW w:w="3403" w:type="dxa"/>
          </w:tcPr>
          <w:p w:rsidR="00485D46" w:rsidRPr="0087591A" w:rsidRDefault="00485D46" w:rsidP="00485D4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To review staff related policies and procedures to ensure they comply with the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Equalities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 (e.g. recruitment, CPD, flexible working, maternity and pay policies) and the Trust offers equal opportunities to staff</w:t>
            </w:r>
          </w:p>
        </w:tc>
        <w:tc>
          <w:tcPr>
            <w:tcW w:w="7512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1. Updated Trust equality policy and share with schools 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Review and u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>pdate HR policies with HR lead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Review flexible working, WFH policies in light of new Government changes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Policies to be put on MAT website as required and shared with schools</w:t>
            </w:r>
          </w:p>
          <w:p w:rsidR="005E525D" w:rsidRPr="002A0870" w:rsidRDefault="005E525D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5. Review Trust HR policies in line with new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Gov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legislation on HR workings and practices</w:t>
            </w:r>
          </w:p>
        </w:tc>
        <w:tc>
          <w:tcPr>
            <w:tcW w:w="1848" w:type="dxa"/>
          </w:tcPr>
          <w:p w:rsidR="00485D46" w:rsidRPr="0087591A" w:rsidRDefault="00485D46" w:rsidP="00485D4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Trust Exec</w:t>
            </w:r>
          </w:p>
        </w:tc>
        <w:tc>
          <w:tcPr>
            <w:tcW w:w="6082" w:type="dxa"/>
          </w:tcPr>
          <w:p w:rsidR="00485D46" w:rsidRPr="006C3A54" w:rsidRDefault="00485D46" w:rsidP="00485D4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HR policies reviewed and updated as per equalities act</w:t>
            </w:r>
          </w:p>
        </w:tc>
      </w:tr>
      <w:tr w:rsidR="00485D46" w:rsidRPr="0087591A" w:rsidTr="00485D46">
        <w:tc>
          <w:tcPr>
            <w:tcW w:w="3403" w:type="dxa"/>
          </w:tcPr>
          <w:p w:rsidR="00485D46" w:rsidRPr="0087591A" w:rsidRDefault="00485D46" w:rsidP="00485D4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To ensure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each Trust 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school promotes role models and heroes young people positively identify with, reflect and broaden the diversity of Modern Brit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ain in terms of race, gender,</w:t>
            </w:r>
            <w:r w:rsidRPr="00C52C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disability</w:t>
            </w:r>
          </w:p>
        </w:tc>
        <w:tc>
          <w:tcPr>
            <w:tcW w:w="7512" w:type="dxa"/>
          </w:tcPr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1. Schools to review curricula in terms of representation</w:t>
            </w:r>
            <w:r w:rsidR="00183230">
              <w:rPr>
                <w:rFonts w:ascii="Arial" w:hAnsi="Arial" w:cs="Arial"/>
                <w:sz w:val="21"/>
                <w:szCs w:val="21"/>
                <w:lang w:val="en-US"/>
              </w:rPr>
              <w:t xml:space="preserve"> in light of the curriculum review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2. Curricula to be adapted and enhanced when possible to ensure positive role models and representation in terms of race, gender and disability</w:t>
            </w:r>
          </w:p>
          <w:p w:rsidR="00485D46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3. School environments to reflect updated curricula</w:t>
            </w:r>
          </w:p>
          <w:p w:rsidR="00485D46" w:rsidRPr="006C3A54" w:rsidRDefault="00485D46" w:rsidP="00485D4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4. School website to reflect updated curricula</w:t>
            </w:r>
          </w:p>
        </w:tc>
        <w:tc>
          <w:tcPr>
            <w:tcW w:w="1848" w:type="dxa"/>
          </w:tcPr>
          <w:p w:rsidR="00485D46" w:rsidRPr="0087591A" w:rsidRDefault="00485D46" w:rsidP="00485D4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Headteachers</w:t>
            </w:r>
            <w:proofErr w:type="spellEnd"/>
          </w:p>
        </w:tc>
        <w:tc>
          <w:tcPr>
            <w:tcW w:w="6082" w:type="dxa"/>
          </w:tcPr>
          <w:p w:rsidR="00485D46" w:rsidRDefault="00485D46" w:rsidP="00485D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All schools have reviewed their </w:t>
            </w:r>
          </w:p>
          <w:p w:rsidR="00485D46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curricula to ensure positive </w:t>
            </w:r>
          </w:p>
          <w:p w:rsidR="00485D46" w:rsidRPr="006C3A54" w:rsidRDefault="00485D46" w:rsidP="00485D46">
            <w:pPr>
              <w:pStyle w:val="List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representation of Modern Britain</w:t>
            </w:r>
          </w:p>
        </w:tc>
      </w:tr>
    </w:tbl>
    <w:p w:rsidR="00485D46" w:rsidRPr="007B5F9A" w:rsidRDefault="00485D46" w:rsidP="00485D46">
      <w:pPr>
        <w:tabs>
          <w:tab w:val="left" w:pos="2700"/>
        </w:tabs>
        <w:ind w:left="720" w:hanging="440"/>
        <w:jc w:val="center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TRUST EQUALITY OBJECTIVES AND </w:t>
      </w:r>
      <w:r w:rsidRPr="0087591A">
        <w:rPr>
          <w:rFonts w:ascii="Arial" w:hAnsi="Arial" w:cs="Arial"/>
          <w:b/>
          <w:sz w:val="21"/>
          <w:szCs w:val="21"/>
          <w:u w:val="single"/>
          <w:lang w:val="en-US"/>
        </w:rPr>
        <w:t>ACTION PLAN</w:t>
      </w:r>
      <w:r w:rsidR="007223FD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2025-28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(Note: Year 1 Actions Only)</w:t>
      </w:r>
    </w:p>
    <w:p w:rsidR="00110F9B" w:rsidRDefault="00110F9B" w:rsidP="00485D46">
      <w:pPr>
        <w:jc w:val="center"/>
      </w:pPr>
    </w:p>
    <w:sectPr w:rsidR="00110F9B" w:rsidSect="00485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FDE"/>
    <w:multiLevelType w:val="hybridMultilevel"/>
    <w:tmpl w:val="B142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F93"/>
    <w:multiLevelType w:val="hybridMultilevel"/>
    <w:tmpl w:val="59D00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1A10"/>
    <w:multiLevelType w:val="hybridMultilevel"/>
    <w:tmpl w:val="FA201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1B5F"/>
    <w:multiLevelType w:val="hybridMultilevel"/>
    <w:tmpl w:val="11FC6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46"/>
    <w:rsid w:val="00110F9B"/>
    <w:rsid w:val="00183230"/>
    <w:rsid w:val="00485D46"/>
    <w:rsid w:val="005E525D"/>
    <w:rsid w:val="007223FD"/>
    <w:rsid w:val="00A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B109"/>
  <w15:chartTrackingRefBased/>
  <w15:docId w15:val="{0E77037E-7D9A-4034-8D1E-579DCCA2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46"/>
    <w:pPr>
      <w:spacing w:after="0" w:line="276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Lacey</dc:creator>
  <cp:keywords/>
  <dc:description/>
  <cp:lastModifiedBy>Tony Lacey</cp:lastModifiedBy>
  <cp:revision>4</cp:revision>
  <dcterms:created xsi:type="dcterms:W3CDTF">2025-05-20T11:31:00Z</dcterms:created>
  <dcterms:modified xsi:type="dcterms:W3CDTF">2025-07-21T11:42:00Z</dcterms:modified>
</cp:coreProperties>
</file>